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DA" w:rsidRPr="00556EDA" w:rsidRDefault="00556EDA" w:rsidP="00556EDA">
      <w:pPr>
        <w:spacing w:before="100" w:beforeAutospacing="1" w:after="100" w:afterAutospacing="1"/>
        <w:outlineLvl w:val="2"/>
        <w:rPr>
          <w:b/>
          <w:bCs/>
          <w:sz w:val="27"/>
          <w:szCs w:val="27"/>
        </w:rPr>
      </w:pPr>
      <w:r w:rsidRPr="00556EDA">
        <w:rPr>
          <w:b/>
          <w:bCs/>
          <w:sz w:val="27"/>
          <w:szCs w:val="27"/>
        </w:rPr>
        <w:t>Written task 2</w:t>
      </w:r>
    </w:p>
    <w:p w:rsidR="00556EDA" w:rsidRPr="00556EDA" w:rsidRDefault="00556EDA" w:rsidP="00556EDA">
      <w:pPr>
        <w:spacing w:before="100" w:beforeAutospacing="1" w:after="100" w:afterAutospacing="1"/>
      </w:pPr>
      <w:r w:rsidRPr="00556EDA">
        <w:t xml:space="preserve">Power and privilege is the area of study for this written task. The prescribed question addressed is: “How and why is a social group represented in a particular way?” This written task makes use of Emily </w:t>
      </w:r>
      <w:proofErr w:type="spellStart"/>
      <w:r w:rsidRPr="00556EDA">
        <w:t>Brontë’s</w:t>
      </w:r>
      <w:proofErr w:type="spellEnd"/>
      <w:r w:rsidRPr="00556EDA">
        <w:t xml:space="preserve"> </w:t>
      </w:r>
      <w:r w:rsidRPr="00556EDA">
        <w:rPr>
          <w:i/>
          <w:iCs/>
        </w:rPr>
        <w:t>Wuthering Heights</w:t>
      </w:r>
      <w:r w:rsidRPr="00556EDA">
        <w:t xml:space="preserve"> and corresponds to part 3 of the syllabus, literature—texts and contexts. </w:t>
      </w:r>
    </w:p>
    <w:p w:rsidR="00556EDA" w:rsidRDefault="00556EDA" w:rsidP="00556EDA">
      <w:pPr>
        <w:pStyle w:val="Heading3"/>
      </w:pPr>
      <w:r>
        <w:t>Assessment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5"/>
        <w:gridCol w:w="234"/>
        <w:gridCol w:w="221"/>
        <w:gridCol w:w="234"/>
        <w:gridCol w:w="234"/>
        <w:gridCol w:w="622"/>
      </w:tblGrid>
      <w:tr w:rsidR="00556EDA" w:rsidTr="00556EDA">
        <w:trPr>
          <w:tblCellSpacing w:w="15" w:type="dxa"/>
        </w:trPr>
        <w:tc>
          <w:tcPr>
            <w:tcW w:w="0" w:type="auto"/>
            <w:vAlign w:val="center"/>
            <w:hideMark/>
          </w:tcPr>
          <w:p w:rsidR="00556EDA" w:rsidRDefault="00556EDA">
            <w:pPr>
              <w:jc w:val="center"/>
              <w:rPr>
                <w:b/>
                <w:bCs/>
              </w:rPr>
            </w:pPr>
            <w:r>
              <w:rPr>
                <w:b/>
                <w:bCs/>
              </w:rPr>
              <w:t>Criterion</w:t>
            </w:r>
          </w:p>
        </w:tc>
        <w:tc>
          <w:tcPr>
            <w:tcW w:w="0" w:type="auto"/>
            <w:vAlign w:val="center"/>
            <w:hideMark/>
          </w:tcPr>
          <w:p w:rsidR="00556EDA" w:rsidRDefault="00556EDA">
            <w:pPr>
              <w:jc w:val="center"/>
              <w:rPr>
                <w:b/>
                <w:bCs/>
              </w:rPr>
            </w:pPr>
            <w:r>
              <w:rPr>
                <w:b/>
                <w:bCs/>
              </w:rPr>
              <w:t>A</w:t>
            </w:r>
          </w:p>
        </w:tc>
        <w:tc>
          <w:tcPr>
            <w:tcW w:w="0" w:type="auto"/>
            <w:vAlign w:val="center"/>
            <w:hideMark/>
          </w:tcPr>
          <w:p w:rsidR="00556EDA" w:rsidRDefault="00556EDA">
            <w:pPr>
              <w:jc w:val="center"/>
              <w:rPr>
                <w:b/>
                <w:bCs/>
              </w:rPr>
            </w:pPr>
            <w:r>
              <w:rPr>
                <w:b/>
                <w:bCs/>
              </w:rPr>
              <w:t>B</w:t>
            </w:r>
          </w:p>
        </w:tc>
        <w:tc>
          <w:tcPr>
            <w:tcW w:w="0" w:type="auto"/>
            <w:vAlign w:val="center"/>
            <w:hideMark/>
          </w:tcPr>
          <w:p w:rsidR="00556EDA" w:rsidRDefault="00556EDA">
            <w:pPr>
              <w:jc w:val="center"/>
              <w:rPr>
                <w:b/>
                <w:bCs/>
              </w:rPr>
            </w:pPr>
            <w:r>
              <w:rPr>
                <w:b/>
                <w:bCs/>
              </w:rPr>
              <w:t>C</w:t>
            </w:r>
          </w:p>
        </w:tc>
        <w:tc>
          <w:tcPr>
            <w:tcW w:w="0" w:type="auto"/>
            <w:vAlign w:val="center"/>
            <w:hideMark/>
          </w:tcPr>
          <w:p w:rsidR="00556EDA" w:rsidRDefault="00556EDA">
            <w:pPr>
              <w:jc w:val="center"/>
              <w:rPr>
                <w:b/>
                <w:bCs/>
              </w:rPr>
            </w:pPr>
            <w:r>
              <w:rPr>
                <w:b/>
                <w:bCs/>
              </w:rPr>
              <w:t>D</w:t>
            </w:r>
          </w:p>
        </w:tc>
        <w:tc>
          <w:tcPr>
            <w:tcW w:w="0" w:type="auto"/>
            <w:vAlign w:val="center"/>
            <w:hideMark/>
          </w:tcPr>
          <w:p w:rsidR="00556EDA" w:rsidRDefault="00556EDA">
            <w:pPr>
              <w:jc w:val="center"/>
              <w:rPr>
                <w:b/>
                <w:bCs/>
              </w:rPr>
            </w:pPr>
            <w:r>
              <w:rPr>
                <w:b/>
                <w:bCs/>
              </w:rPr>
              <w:t>Total</w:t>
            </w:r>
          </w:p>
        </w:tc>
      </w:tr>
      <w:tr w:rsidR="00556EDA" w:rsidTr="00556EDA">
        <w:trPr>
          <w:tblCellSpacing w:w="15" w:type="dxa"/>
        </w:trPr>
        <w:tc>
          <w:tcPr>
            <w:tcW w:w="0" w:type="auto"/>
            <w:vAlign w:val="center"/>
            <w:hideMark/>
          </w:tcPr>
          <w:p w:rsidR="00556EDA" w:rsidRDefault="00556EDA">
            <w:pPr>
              <w:jc w:val="center"/>
              <w:rPr>
                <w:b/>
                <w:bCs/>
              </w:rPr>
            </w:pPr>
            <w:r>
              <w:rPr>
                <w:b/>
                <w:bCs/>
              </w:rPr>
              <w:t>Marks available</w:t>
            </w:r>
          </w:p>
        </w:tc>
        <w:tc>
          <w:tcPr>
            <w:tcW w:w="0" w:type="auto"/>
            <w:vAlign w:val="center"/>
            <w:hideMark/>
          </w:tcPr>
          <w:p w:rsidR="00556EDA" w:rsidRDefault="00556EDA">
            <w:r>
              <w:t>2</w:t>
            </w:r>
          </w:p>
        </w:tc>
        <w:tc>
          <w:tcPr>
            <w:tcW w:w="0" w:type="auto"/>
            <w:vAlign w:val="center"/>
            <w:hideMark/>
          </w:tcPr>
          <w:p w:rsidR="00556EDA" w:rsidRDefault="00556EDA">
            <w:r>
              <w:t>8</w:t>
            </w:r>
          </w:p>
        </w:tc>
        <w:tc>
          <w:tcPr>
            <w:tcW w:w="0" w:type="auto"/>
            <w:vAlign w:val="center"/>
            <w:hideMark/>
          </w:tcPr>
          <w:p w:rsidR="00556EDA" w:rsidRDefault="00556EDA">
            <w:r>
              <w:t>5</w:t>
            </w:r>
          </w:p>
        </w:tc>
        <w:tc>
          <w:tcPr>
            <w:tcW w:w="0" w:type="auto"/>
            <w:vAlign w:val="center"/>
            <w:hideMark/>
          </w:tcPr>
          <w:p w:rsidR="00556EDA" w:rsidRDefault="00556EDA">
            <w:r>
              <w:t>5</w:t>
            </w:r>
          </w:p>
        </w:tc>
        <w:tc>
          <w:tcPr>
            <w:tcW w:w="0" w:type="auto"/>
            <w:vAlign w:val="center"/>
            <w:hideMark/>
          </w:tcPr>
          <w:p w:rsidR="00556EDA" w:rsidRDefault="00556EDA">
            <w:r>
              <w:t>20</w:t>
            </w:r>
          </w:p>
        </w:tc>
      </w:tr>
      <w:tr w:rsidR="00556EDA" w:rsidTr="00556EDA">
        <w:trPr>
          <w:tblCellSpacing w:w="15" w:type="dxa"/>
        </w:trPr>
        <w:tc>
          <w:tcPr>
            <w:tcW w:w="0" w:type="auto"/>
            <w:vAlign w:val="center"/>
            <w:hideMark/>
          </w:tcPr>
          <w:p w:rsidR="00556EDA" w:rsidRDefault="00556EDA">
            <w:pPr>
              <w:jc w:val="center"/>
              <w:rPr>
                <w:b/>
                <w:bCs/>
              </w:rPr>
            </w:pPr>
            <w:r>
              <w:rPr>
                <w:b/>
                <w:bCs/>
              </w:rPr>
              <w:t>Marks awarded</w:t>
            </w:r>
          </w:p>
        </w:tc>
        <w:tc>
          <w:tcPr>
            <w:tcW w:w="0" w:type="auto"/>
            <w:vAlign w:val="center"/>
            <w:hideMark/>
          </w:tcPr>
          <w:p w:rsidR="00556EDA" w:rsidRDefault="00556EDA">
            <w:r>
              <w:t>2</w:t>
            </w:r>
          </w:p>
        </w:tc>
        <w:tc>
          <w:tcPr>
            <w:tcW w:w="0" w:type="auto"/>
            <w:vAlign w:val="center"/>
            <w:hideMark/>
          </w:tcPr>
          <w:p w:rsidR="00556EDA" w:rsidRDefault="00556EDA">
            <w:r>
              <w:t>6</w:t>
            </w:r>
          </w:p>
        </w:tc>
        <w:tc>
          <w:tcPr>
            <w:tcW w:w="0" w:type="auto"/>
            <w:vAlign w:val="center"/>
            <w:hideMark/>
          </w:tcPr>
          <w:p w:rsidR="00556EDA" w:rsidRDefault="00556EDA">
            <w:r>
              <w:t>4</w:t>
            </w:r>
          </w:p>
        </w:tc>
        <w:tc>
          <w:tcPr>
            <w:tcW w:w="0" w:type="auto"/>
            <w:vAlign w:val="center"/>
            <w:hideMark/>
          </w:tcPr>
          <w:p w:rsidR="00556EDA" w:rsidRDefault="00556EDA">
            <w:r>
              <w:t>5</w:t>
            </w:r>
          </w:p>
        </w:tc>
        <w:tc>
          <w:tcPr>
            <w:tcW w:w="0" w:type="auto"/>
            <w:vAlign w:val="center"/>
            <w:hideMark/>
          </w:tcPr>
          <w:p w:rsidR="00556EDA" w:rsidRDefault="00556EDA">
            <w:r>
              <w:t>17</w:t>
            </w:r>
          </w:p>
        </w:tc>
      </w:tr>
    </w:tbl>
    <w:p w:rsidR="00556EDA" w:rsidRDefault="00556EDA" w:rsidP="00556EDA">
      <w:pPr>
        <w:pStyle w:val="Heading4"/>
      </w:pPr>
      <w:r>
        <w:t>Criterion A</w:t>
      </w:r>
    </w:p>
    <w:p w:rsidR="00556EDA" w:rsidRDefault="00556EDA" w:rsidP="00556EDA">
      <w:pPr>
        <w:pStyle w:val="NormalWeb"/>
      </w:pPr>
      <w:r>
        <w:t xml:space="preserve">The outline is fairly clear on the focus of the task. Although the prescribed response question has been modified, the mark awarded is justified. </w:t>
      </w:r>
    </w:p>
    <w:p w:rsidR="00556EDA" w:rsidRDefault="00556EDA" w:rsidP="00556EDA">
      <w:pPr>
        <w:pStyle w:val="Heading4"/>
      </w:pPr>
      <w:r>
        <w:t>Criterion B</w:t>
      </w:r>
    </w:p>
    <w:p w:rsidR="00556EDA" w:rsidRDefault="00556EDA" w:rsidP="00556EDA">
      <w:pPr>
        <w:pStyle w:val="NormalWeb"/>
      </w:pPr>
      <w:r>
        <w:t xml:space="preserve">The task shows a good understanding of the expectations of the question but some of the points made need better or further explanation. The task is mostly relevant and supported, although the “why” part of the question could have been explored more fully. </w:t>
      </w:r>
    </w:p>
    <w:p w:rsidR="00556EDA" w:rsidRDefault="00556EDA" w:rsidP="00556EDA">
      <w:pPr>
        <w:pStyle w:val="Heading4"/>
      </w:pPr>
      <w:r>
        <w:t>Criterion C</w:t>
      </w:r>
    </w:p>
    <w:p w:rsidR="00556EDA" w:rsidRDefault="00556EDA" w:rsidP="00556EDA">
      <w:pPr>
        <w:pStyle w:val="NormalWeb"/>
      </w:pPr>
      <w:r>
        <w:t xml:space="preserve">The task is quite well organized and mostly coherent. </w:t>
      </w:r>
    </w:p>
    <w:p w:rsidR="00556EDA" w:rsidRDefault="00556EDA" w:rsidP="00556EDA">
      <w:pPr>
        <w:pStyle w:val="Heading4"/>
      </w:pPr>
      <w:r>
        <w:t>Criterion D</w:t>
      </w:r>
    </w:p>
    <w:p w:rsidR="00556EDA" w:rsidRDefault="00556EDA" w:rsidP="00556EDA">
      <w:pPr>
        <w:pStyle w:val="NormalWeb"/>
      </w:pPr>
      <w:r>
        <w:t xml:space="preserve">Language is accurate, with very appropriate vocabulary, a confident style and effective use of register. </w:t>
      </w:r>
    </w:p>
    <w:p w:rsidR="002A1F1E" w:rsidRDefault="002A1F1E">
      <w:bookmarkStart w:id="0" w:name="_GoBack"/>
      <w:bookmarkEnd w:id="0"/>
    </w:p>
    <w:sectPr w:rsidR="002A1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DA"/>
    <w:rsid w:val="002A1F1E"/>
    <w:rsid w:val="00556EDA"/>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556EDA"/>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556E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EDA"/>
    <w:rPr>
      <w:b/>
      <w:bCs/>
      <w:sz w:val="27"/>
      <w:szCs w:val="27"/>
    </w:rPr>
  </w:style>
  <w:style w:type="paragraph" w:styleId="NormalWeb">
    <w:name w:val="Normal (Web)"/>
    <w:basedOn w:val="Normal"/>
    <w:uiPriority w:val="99"/>
    <w:unhideWhenUsed/>
    <w:rsid w:val="00556EDA"/>
    <w:pPr>
      <w:spacing w:before="100" w:beforeAutospacing="1" w:after="100" w:afterAutospacing="1"/>
    </w:pPr>
  </w:style>
  <w:style w:type="character" w:styleId="Emphasis">
    <w:name w:val="Emphasis"/>
    <w:basedOn w:val="DefaultParagraphFont"/>
    <w:uiPriority w:val="20"/>
    <w:qFormat/>
    <w:rsid w:val="00556EDA"/>
    <w:rPr>
      <w:i/>
      <w:iCs/>
    </w:rPr>
  </w:style>
  <w:style w:type="character" w:customStyle="1" w:styleId="Heading4Char">
    <w:name w:val="Heading 4 Char"/>
    <w:basedOn w:val="DefaultParagraphFont"/>
    <w:link w:val="Heading4"/>
    <w:semiHidden/>
    <w:rsid w:val="00556EDA"/>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556EDA"/>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556E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6EDA"/>
    <w:rPr>
      <w:b/>
      <w:bCs/>
      <w:sz w:val="27"/>
      <w:szCs w:val="27"/>
    </w:rPr>
  </w:style>
  <w:style w:type="paragraph" w:styleId="NormalWeb">
    <w:name w:val="Normal (Web)"/>
    <w:basedOn w:val="Normal"/>
    <w:uiPriority w:val="99"/>
    <w:unhideWhenUsed/>
    <w:rsid w:val="00556EDA"/>
    <w:pPr>
      <w:spacing w:before="100" w:beforeAutospacing="1" w:after="100" w:afterAutospacing="1"/>
    </w:pPr>
  </w:style>
  <w:style w:type="character" w:styleId="Emphasis">
    <w:name w:val="Emphasis"/>
    <w:basedOn w:val="DefaultParagraphFont"/>
    <w:uiPriority w:val="20"/>
    <w:qFormat/>
    <w:rsid w:val="00556EDA"/>
    <w:rPr>
      <w:i/>
      <w:iCs/>
    </w:rPr>
  </w:style>
  <w:style w:type="character" w:customStyle="1" w:styleId="Heading4Char">
    <w:name w:val="Heading 4 Char"/>
    <w:basedOn w:val="DefaultParagraphFont"/>
    <w:link w:val="Heading4"/>
    <w:semiHidden/>
    <w:rsid w:val="00556EDA"/>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7482">
      <w:bodyDiv w:val="1"/>
      <w:marLeft w:val="0"/>
      <w:marRight w:val="0"/>
      <w:marTop w:val="0"/>
      <w:marBottom w:val="0"/>
      <w:divBdr>
        <w:top w:val="none" w:sz="0" w:space="0" w:color="auto"/>
        <w:left w:val="none" w:sz="0" w:space="0" w:color="auto"/>
        <w:bottom w:val="none" w:sz="0" w:space="0" w:color="auto"/>
        <w:right w:val="none" w:sz="0" w:space="0" w:color="auto"/>
      </w:divBdr>
      <w:divsChild>
        <w:div w:id="1592466567">
          <w:marLeft w:val="0"/>
          <w:marRight w:val="0"/>
          <w:marTop w:val="0"/>
          <w:marBottom w:val="0"/>
          <w:divBdr>
            <w:top w:val="none" w:sz="0" w:space="0" w:color="auto"/>
            <w:left w:val="none" w:sz="0" w:space="0" w:color="auto"/>
            <w:bottom w:val="none" w:sz="0" w:space="0" w:color="auto"/>
            <w:right w:val="none" w:sz="0" w:space="0" w:color="auto"/>
          </w:divBdr>
          <w:divsChild>
            <w:div w:id="1797987219">
              <w:marLeft w:val="0"/>
              <w:marRight w:val="0"/>
              <w:marTop w:val="0"/>
              <w:marBottom w:val="0"/>
              <w:divBdr>
                <w:top w:val="none" w:sz="0" w:space="0" w:color="auto"/>
                <w:left w:val="none" w:sz="0" w:space="0" w:color="auto"/>
                <w:bottom w:val="none" w:sz="0" w:space="0" w:color="auto"/>
                <w:right w:val="none" w:sz="0" w:space="0" w:color="auto"/>
              </w:divBdr>
              <w:divsChild>
                <w:div w:id="1022124672">
                  <w:marLeft w:val="0"/>
                  <w:marRight w:val="0"/>
                  <w:marTop w:val="0"/>
                  <w:marBottom w:val="0"/>
                  <w:divBdr>
                    <w:top w:val="none" w:sz="0" w:space="0" w:color="auto"/>
                    <w:left w:val="none" w:sz="0" w:space="0" w:color="auto"/>
                    <w:bottom w:val="none" w:sz="0" w:space="0" w:color="auto"/>
                    <w:right w:val="none" w:sz="0" w:space="0" w:color="auto"/>
                  </w:divBdr>
                  <w:divsChild>
                    <w:div w:id="186650199">
                      <w:marLeft w:val="0"/>
                      <w:marRight w:val="0"/>
                      <w:marTop w:val="0"/>
                      <w:marBottom w:val="0"/>
                      <w:divBdr>
                        <w:top w:val="none" w:sz="0" w:space="0" w:color="auto"/>
                        <w:left w:val="none" w:sz="0" w:space="0" w:color="auto"/>
                        <w:bottom w:val="none" w:sz="0" w:space="0" w:color="auto"/>
                        <w:right w:val="none" w:sz="0" w:space="0" w:color="auto"/>
                      </w:divBdr>
                      <w:divsChild>
                        <w:div w:id="1916160699">
                          <w:marLeft w:val="0"/>
                          <w:marRight w:val="0"/>
                          <w:marTop w:val="0"/>
                          <w:marBottom w:val="0"/>
                          <w:divBdr>
                            <w:top w:val="none" w:sz="0" w:space="0" w:color="auto"/>
                            <w:left w:val="none" w:sz="0" w:space="0" w:color="auto"/>
                            <w:bottom w:val="none" w:sz="0" w:space="0" w:color="auto"/>
                            <w:right w:val="none" w:sz="0" w:space="0" w:color="auto"/>
                          </w:divBdr>
                          <w:divsChild>
                            <w:div w:id="1073897137">
                              <w:marLeft w:val="0"/>
                              <w:marRight w:val="0"/>
                              <w:marTop w:val="0"/>
                              <w:marBottom w:val="0"/>
                              <w:divBdr>
                                <w:top w:val="none" w:sz="0" w:space="0" w:color="auto"/>
                                <w:left w:val="none" w:sz="0" w:space="0" w:color="auto"/>
                                <w:bottom w:val="none" w:sz="0" w:space="0" w:color="auto"/>
                                <w:right w:val="none" w:sz="0" w:space="0" w:color="auto"/>
                              </w:divBdr>
                            </w:div>
                            <w:div w:id="1368289456">
                              <w:marLeft w:val="0"/>
                              <w:marRight w:val="0"/>
                              <w:marTop w:val="0"/>
                              <w:marBottom w:val="0"/>
                              <w:divBdr>
                                <w:top w:val="none" w:sz="0" w:space="0" w:color="auto"/>
                                <w:left w:val="none" w:sz="0" w:space="0" w:color="auto"/>
                                <w:bottom w:val="none" w:sz="0" w:space="0" w:color="auto"/>
                                <w:right w:val="none" w:sz="0" w:space="0" w:color="auto"/>
                              </w:divBdr>
                            </w:div>
                            <w:div w:id="850608902">
                              <w:marLeft w:val="0"/>
                              <w:marRight w:val="0"/>
                              <w:marTop w:val="0"/>
                              <w:marBottom w:val="0"/>
                              <w:divBdr>
                                <w:top w:val="none" w:sz="0" w:space="0" w:color="auto"/>
                                <w:left w:val="none" w:sz="0" w:space="0" w:color="auto"/>
                                <w:bottom w:val="none" w:sz="0" w:space="0" w:color="auto"/>
                                <w:right w:val="none" w:sz="0" w:space="0" w:color="auto"/>
                              </w:divBdr>
                            </w:div>
                            <w:div w:id="12813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77798">
      <w:bodyDiv w:val="1"/>
      <w:marLeft w:val="0"/>
      <w:marRight w:val="0"/>
      <w:marTop w:val="0"/>
      <w:marBottom w:val="0"/>
      <w:divBdr>
        <w:top w:val="none" w:sz="0" w:space="0" w:color="auto"/>
        <w:left w:val="none" w:sz="0" w:space="0" w:color="auto"/>
        <w:bottom w:val="none" w:sz="0" w:space="0" w:color="auto"/>
        <w:right w:val="none" w:sz="0" w:space="0" w:color="auto"/>
      </w:divBdr>
      <w:divsChild>
        <w:div w:id="1733313450">
          <w:marLeft w:val="0"/>
          <w:marRight w:val="0"/>
          <w:marTop w:val="0"/>
          <w:marBottom w:val="0"/>
          <w:divBdr>
            <w:top w:val="none" w:sz="0" w:space="0" w:color="auto"/>
            <w:left w:val="none" w:sz="0" w:space="0" w:color="auto"/>
            <w:bottom w:val="none" w:sz="0" w:space="0" w:color="auto"/>
            <w:right w:val="none" w:sz="0" w:space="0" w:color="auto"/>
          </w:divBdr>
          <w:divsChild>
            <w:div w:id="1497844680">
              <w:marLeft w:val="0"/>
              <w:marRight w:val="0"/>
              <w:marTop w:val="0"/>
              <w:marBottom w:val="0"/>
              <w:divBdr>
                <w:top w:val="none" w:sz="0" w:space="0" w:color="auto"/>
                <w:left w:val="none" w:sz="0" w:space="0" w:color="auto"/>
                <w:bottom w:val="none" w:sz="0" w:space="0" w:color="auto"/>
                <w:right w:val="none" w:sz="0" w:space="0" w:color="auto"/>
              </w:divBdr>
              <w:divsChild>
                <w:div w:id="1952084252">
                  <w:marLeft w:val="0"/>
                  <w:marRight w:val="0"/>
                  <w:marTop w:val="0"/>
                  <w:marBottom w:val="0"/>
                  <w:divBdr>
                    <w:top w:val="none" w:sz="0" w:space="0" w:color="auto"/>
                    <w:left w:val="none" w:sz="0" w:space="0" w:color="auto"/>
                    <w:bottom w:val="none" w:sz="0" w:space="0" w:color="auto"/>
                    <w:right w:val="none" w:sz="0" w:space="0" w:color="auto"/>
                  </w:divBdr>
                  <w:divsChild>
                    <w:div w:id="1974674791">
                      <w:marLeft w:val="0"/>
                      <w:marRight w:val="0"/>
                      <w:marTop w:val="0"/>
                      <w:marBottom w:val="0"/>
                      <w:divBdr>
                        <w:top w:val="none" w:sz="0" w:space="0" w:color="auto"/>
                        <w:left w:val="none" w:sz="0" w:space="0" w:color="auto"/>
                        <w:bottom w:val="none" w:sz="0" w:space="0" w:color="auto"/>
                        <w:right w:val="none" w:sz="0" w:space="0" w:color="auto"/>
                      </w:divBdr>
                      <w:divsChild>
                        <w:div w:id="1543833383">
                          <w:marLeft w:val="0"/>
                          <w:marRight w:val="0"/>
                          <w:marTop w:val="0"/>
                          <w:marBottom w:val="0"/>
                          <w:divBdr>
                            <w:top w:val="none" w:sz="0" w:space="0" w:color="auto"/>
                            <w:left w:val="none" w:sz="0" w:space="0" w:color="auto"/>
                            <w:bottom w:val="none" w:sz="0" w:space="0" w:color="auto"/>
                            <w:right w:val="none" w:sz="0" w:space="0" w:color="auto"/>
                          </w:divBdr>
                          <w:divsChild>
                            <w:div w:id="1808742149">
                              <w:marLeft w:val="0"/>
                              <w:marRight w:val="0"/>
                              <w:marTop w:val="0"/>
                              <w:marBottom w:val="0"/>
                              <w:divBdr>
                                <w:top w:val="none" w:sz="0" w:space="0" w:color="auto"/>
                                <w:left w:val="none" w:sz="0" w:space="0" w:color="auto"/>
                                <w:bottom w:val="none" w:sz="0" w:space="0" w:color="auto"/>
                                <w:right w:val="none" w:sz="0" w:space="0" w:color="auto"/>
                              </w:divBdr>
                              <w:divsChild>
                                <w:div w:id="923075911">
                                  <w:marLeft w:val="0"/>
                                  <w:marRight w:val="0"/>
                                  <w:marTop w:val="0"/>
                                  <w:marBottom w:val="0"/>
                                  <w:divBdr>
                                    <w:top w:val="none" w:sz="0" w:space="0" w:color="auto"/>
                                    <w:left w:val="none" w:sz="0" w:space="0" w:color="auto"/>
                                    <w:bottom w:val="none" w:sz="0" w:space="0" w:color="auto"/>
                                    <w:right w:val="none" w:sz="0" w:space="0" w:color="auto"/>
                                  </w:divBdr>
                                  <w:divsChild>
                                    <w:div w:id="2773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851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2014-02-07T19:52:00Z</dcterms:created>
  <dcterms:modified xsi:type="dcterms:W3CDTF">2014-02-07T19:53:00Z</dcterms:modified>
</cp:coreProperties>
</file>