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40" w:rsidRDefault="006B6240" w:rsidP="00E576DE">
      <w:pPr>
        <w:spacing w:before="100" w:beforeAutospacing="1" w:after="100" w:afterAutospacing="1"/>
        <w:outlineLvl w:val="2"/>
        <w:rPr>
          <w:b/>
          <w:bCs/>
          <w:sz w:val="27"/>
          <w:szCs w:val="27"/>
        </w:rPr>
      </w:pPr>
    </w:p>
    <w:p w:rsidR="006B6240" w:rsidRDefault="006B6240" w:rsidP="006B6240">
      <w:pPr>
        <w:pStyle w:val="Heading3"/>
      </w:pPr>
      <w:r>
        <w:t>Question</w:t>
      </w:r>
    </w:p>
    <w:p w:rsidR="006B6240" w:rsidRDefault="006B6240" w:rsidP="006B6240">
      <w:pPr>
        <w:pStyle w:val="NormalWeb"/>
      </w:pPr>
      <w:r>
        <w:t>Context—historical, cultural or social—can have an influence on</w:t>
      </w:r>
      <w:bookmarkStart w:id="0" w:name="_GoBack"/>
      <w:bookmarkEnd w:id="0"/>
      <w:r>
        <w:t xml:space="preserve"> the way literary works are written or received. Discuss with reference to at least two of the works you have studied. </w:t>
      </w:r>
    </w:p>
    <w:p w:rsidR="006B6240" w:rsidRDefault="006B6240" w:rsidP="00E576DE">
      <w:pPr>
        <w:spacing w:before="100" w:beforeAutospacing="1" w:after="100" w:afterAutospacing="1"/>
        <w:outlineLvl w:val="2"/>
        <w:rPr>
          <w:b/>
          <w:bCs/>
          <w:sz w:val="27"/>
          <w:szCs w:val="27"/>
        </w:rPr>
      </w:pPr>
    </w:p>
    <w:p w:rsidR="006B6240" w:rsidRDefault="006B6240" w:rsidP="00E576DE">
      <w:pPr>
        <w:spacing w:before="100" w:beforeAutospacing="1" w:after="100" w:afterAutospacing="1"/>
        <w:outlineLvl w:val="2"/>
        <w:rPr>
          <w:b/>
          <w:bCs/>
          <w:sz w:val="27"/>
          <w:szCs w:val="27"/>
        </w:rPr>
      </w:pPr>
    </w:p>
    <w:p w:rsidR="006B6240" w:rsidRDefault="006B6240" w:rsidP="00E576DE">
      <w:pPr>
        <w:spacing w:before="100" w:beforeAutospacing="1" w:after="100" w:afterAutospacing="1"/>
        <w:outlineLvl w:val="2"/>
        <w:rPr>
          <w:b/>
          <w:bCs/>
          <w:sz w:val="27"/>
          <w:szCs w:val="27"/>
        </w:rPr>
      </w:pPr>
    </w:p>
    <w:p w:rsidR="006B6240" w:rsidRDefault="006B6240" w:rsidP="00E576DE">
      <w:pPr>
        <w:spacing w:before="100" w:beforeAutospacing="1" w:after="100" w:afterAutospacing="1"/>
        <w:outlineLvl w:val="2"/>
        <w:rPr>
          <w:b/>
          <w:bCs/>
          <w:sz w:val="27"/>
          <w:szCs w:val="27"/>
        </w:rPr>
      </w:pPr>
    </w:p>
    <w:p w:rsidR="00E576DE" w:rsidRPr="00E576DE" w:rsidRDefault="00E576DE" w:rsidP="00E576DE">
      <w:pPr>
        <w:spacing w:before="100" w:beforeAutospacing="1" w:after="100" w:afterAutospacing="1"/>
        <w:outlineLvl w:val="2"/>
        <w:rPr>
          <w:b/>
          <w:bCs/>
          <w:sz w:val="27"/>
          <w:szCs w:val="27"/>
        </w:rPr>
      </w:pPr>
      <w:r w:rsidRPr="00E576DE">
        <w:rPr>
          <w:b/>
          <w:bCs/>
          <w:sz w:val="27"/>
          <w:szCs w:val="27"/>
        </w:rPr>
        <w:t>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234"/>
        <w:gridCol w:w="221"/>
        <w:gridCol w:w="234"/>
        <w:gridCol w:w="234"/>
        <w:gridCol w:w="221"/>
        <w:gridCol w:w="622"/>
      </w:tblGrid>
      <w:tr w:rsidR="00E576DE" w:rsidRPr="00E576DE" w:rsidTr="00E576DE">
        <w:trPr>
          <w:tblCellSpacing w:w="15" w:type="dxa"/>
        </w:trPr>
        <w:tc>
          <w:tcPr>
            <w:tcW w:w="0" w:type="auto"/>
            <w:vAlign w:val="center"/>
            <w:hideMark/>
          </w:tcPr>
          <w:p w:rsidR="00E576DE" w:rsidRPr="00E576DE" w:rsidRDefault="00E576DE" w:rsidP="00E576DE">
            <w:pPr>
              <w:jc w:val="center"/>
              <w:rPr>
                <w:b/>
                <w:bCs/>
              </w:rPr>
            </w:pPr>
            <w:r w:rsidRPr="00E576DE">
              <w:rPr>
                <w:b/>
                <w:bCs/>
              </w:rPr>
              <w:t>Criterion</w:t>
            </w:r>
          </w:p>
        </w:tc>
        <w:tc>
          <w:tcPr>
            <w:tcW w:w="0" w:type="auto"/>
            <w:vAlign w:val="center"/>
            <w:hideMark/>
          </w:tcPr>
          <w:p w:rsidR="00E576DE" w:rsidRPr="00E576DE" w:rsidRDefault="00E576DE" w:rsidP="00E576DE">
            <w:pPr>
              <w:jc w:val="center"/>
              <w:rPr>
                <w:b/>
                <w:bCs/>
              </w:rPr>
            </w:pPr>
            <w:r w:rsidRPr="00E576DE">
              <w:rPr>
                <w:b/>
                <w:bCs/>
              </w:rPr>
              <w:t>A</w:t>
            </w:r>
          </w:p>
        </w:tc>
        <w:tc>
          <w:tcPr>
            <w:tcW w:w="0" w:type="auto"/>
            <w:vAlign w:val="center"/>
            <w:hideMark/>
          </w:tcPr>
          <w:p w:rsidR="00E576DE" w:rsidRPr="00E576DE" w:rsidRDefault="00E576DE" w:rsidP="00E576DE">
            <w:pPr>
              <w:jc w:val="center"/>
              <w:rPr>
                <w:b/>
                <w:bCs/>
              </w:rPr>
            </w:pPr>
            <w:r w:rsidRPr="00E576DE">
              <w:rPr>
                <w:b/>
                <w:bCs/>
              </w:rPr>
              <w:t>B</w:t>
            </w:r>
          </w:p>
        </w:tc>
        <w:tc>
          <w:tcPr>
            <w:tcW w:w="0" w:type="auto"/>
            <w:vAlign w:val="center"/>
            <w:hideMark/>
          </w:tcPr>
          <w:p w:rsidR="00E576DE" w:rsidRPr="00E576DE" w:rsidRDefault="00E576DE" w:rsidP="00E576DE">
            <w:pPr>
              <w:jc w:val="center"/>
              <w:rPr>
                <w:b/>
                <w:bCs/>
              </w:rPr>
            </w:pPr>
            <w:r w:rsidRPr="00E576DE">
              <w:rPr>
                <w:b/>
                <w:bCs/>
              </w:rPr>
              <w:t>C</w:t>
            </w:r>
          </w:p>
        </w:tc>
        <w:tc>
          <w:tcPr>
            <w:tcW w:w="0" w:type="auto"/>
            <w:vAlign w:val="center"/>
            <w:hideMark/>
          </w:tcPr>
          <w:p w:rsidR="00E576DE" w:rsidRPr="00E576DE" w:rsidRDefault="00E576DE" w:rsidP="00E576DE">
            <w:pPr>
              <w:jc w:val="center"/>
              <w:rPr>
                <w:b/>
                <w:bCs/>
              </w:rPr>
            </w:pPr>
            <w:r w:rsidRPr="00E576DE">
              <w:rPr>
                <w:b/>
                <w:bCs/>
              </w:rPr>
              <w:t>D</w:t>
            </w:r>
          </w:p>
        </w:tc>
        <w:tc>
          <w:tcPr>
            <w:tcW w:w="0" w:type="auto"/>
            <w:vAlign w:val="center"/>
            <w:hideMark/>
          </w:tcPr>
          <w:p w:rsidR="00E576DE" w:rsidRPr="00E576DE" w:rsidRDefault="00E576DE" w:rsidP="00E576DE">
            <w:pPr>
              <w:jc w:val="center"/>
              <w:rPr>
                <w:b/>
                <w:bCs/>
              </w:rPr>
            </w:pPr>
            <w:r w:rsidRPr="00E576DE">
              <w:rPr>
                <w:b/>
                <w:bCs/>
              </w:rPr>
              <w:t>E</w:t>
            </w:r>
          </w:p>
        </w:tc>
        <w:tc>
          <w:tcPr>
            <w:tcW w:w="0" w:type="auto"/>
            <w:vAlign w:val="center"/>
            <w:hideMark/>
          </w:tcPr>
          <w:p w:rsidR="00E576DE" w:rsidRPr="00E576DE" w:rsidRDefault="00E576DE" w:rsidP="00E576DE">
            <w:pPr>
              <w:jc w:val="center"/>
              <w:rPr>
                <w:b/>
                <w:bCs/>
              </w:rPr>
            </w:pPr>
            <w:r w:rsidRPr="00E576DE">
              <w:rPr>
                <w:b/>
                <w:bCs/>
              </w:rPr>
              <w:t>Total</w:t>
            </w:r>
          </w:p>
        </w:tc>
      </w:tr>
      <w:tr w:rsidR="00E576DE" w:rsidRPr="00E576DE" w:rsidTr="00E576DE">
        <w:trPr>
          <w:tblCellSpacing w:w="15" w:type="dxa"/>
        </w:trPr>
        <w:tc>
          <w:tcPr>
            <w:tcW w:w="0" w:type="auto"/>
            <w:vAlign w:val="center"/>
            <w:hideMark/>
          </w:tcPr>
          <w:p w:rsidR="00E576DE" w:rsidRPr="00E576DE" w:rsidRDefault="00E576DE" w:rsidP="00E576DE">
            <w:pPr>
              <w:jc w:val="center"/>
              <w:rPr>
                <w:b/>
                <w:bCs/>
              </w:rPr>
            </w:pPr>
            <w:r w:rsidRPr="00E576DE">
              <w:rPr>
                <w:b/>
                <w:bCs/>
              </w:rPr>
              <w:t>Marks available</w:t>
            </w:r>
          </w:p>
        </w:tc>
        <w:tc>
          <w:tcPr>
            <w:tcW w:w="0" w:type="auto"/>
            <w:vAlign w:val="center"/>
            <w:hideMark/>
          </w:tcPr>
          <w:p w:rsidR="00E576DE" w:rsidRPr="00E576DE" w:rsidRDefault="00E576DE" w:rsidP="00E576DE">
            <w:r w:rsidRPr="00E576DE">
              <w:t>5</w:t>
            </w:r>
          </w:p>
        </w:tc>
        <w:tc>
          <w:tcPr>
            <w:tcW w:w="0" w:type="auto"/>
            <w:vAlign w:val="center"/>
            <w:hideMark/>
          </w:tcPr>
          <w:p w:rsidR="00E576DE" w:rsidRPr="00E576DE" w:rsidRDefault="00E576DE" w:rsidP="00E576DE">
            <w:r w:rsidRPr="00E576DE">
              <w:t>5</w:t>
            </w:r>
          </w:p>
        </w:tc>
        <w:tc>
          <w:tcPr>
            <w:tcW w:w="0" w:type="auto"/>
            <w:vAlign w:val="center"/>
            <w:hideMark/>
          </w:tcPr>
          <w:p w:rsidR="00E576DE" w:rsidRPr="00E576DE" w:rsidRDefault="00E576DE" w:rsidP="00E576DE">
            <w:r w:rsidRPr="00E576DE">
              <w:t>5</w:t>
            </w:r>
          </w:p>
        </w:tc>
        <w:tc>
          <w:tcPr>
            <w:tcW w:w="0" w:type="auto"/>
            <w:vAlign w:val="center"/>
            <w:hideMark/>
          </w:tcPr>
          <w:p w:rsidR="00E576DE" w:rsidRPr="00E576DE" w:rsidRDefault="00E576DE" w:rsidP="00E576DE">
            <w:r w:rsidRPr="00E576DE">
              <w:t>5</w:t>
            </w:r>
          </w:p>
        </w:tc>
        <w:tc>
          <w:tcPr>
            <w:tcW w:w="0" w:type="auto"/>
            <w:vAlign w:val="center"/>
            <w:hideMark/>
          </w:tcPr>
          <w:p w:rsidR="00E576DE" w:rsidRPr="00E576DE" w:rsidRDefault="00E576DE" w:rsidP="00E576DE">
            <w:r w:rsidRPr="00E576DE">
              <w:t>5</w:t>
            </w:r>
          </w:p>
        </w:tc>
        <w:tc>
          <w:tcPr>
            <w:tcW w:w="0" w:type="auto"/>
            <w:vAlign w:val="center"/>
            <w:hideMark/>
          </w:tcPr>
          <w:p w:rsidR="00E576DE" w:rsidRPr="00E576DE" w:rsidRDefault="00E576DE" w:rsidP="00E576DE">
            <w:r w:rsidRPr="00E576DE">
              <w:t>25</w:t>
            </w:r>
          </w:p>
        </w:tc>
      </w:tr>
      <w:tr w:rsidR="00E576DE" w:rsidRPr="00E576DE" w:rsidTr="00E576DE">
        <w:trPr>
          <w:tblCellSpacing w:w="15" w:type="dxa"/>
        </w:trPr>
        <w:tc>
          <w:tcPr>
            <w:tcW w:w="0" w:type="auto"/>
            <w:vAlign w:val="center"/>
            <w:hideMark/>
          </w:tcPr>
          <w:p w:rsidR="00E576DE" w:rsidRPr="00E576DE" w:rsidRDefault="00E576DE" w:rsidP="00E576DE">
            <w:pPr>
              <w:jc w:val="center"/>
              <w:rPr>
                <w:b/>
                <w:bCs/>
              </w:rPr>
            </w:pPr>
            <w:r w:rsidRPr="00E576DE">
              <w:rPr>
                <w:b/>
                <w:bCs/>
              </w:rPr>
              <w:t>Marks awarded</w:t>
            </w:r>
          </w:p>
        </w:tc>
        <w:tc>
          <w:tcPr>
            <w:tcW w:w="0" w:type="auto"/>
            <w:vAlign w:val="center"/>
            <w:hideMark/>
          </w:tcPr>
          <w:p w:rsidR="00E576DE" w:rsidRPr="00E576DE" w:rsidRDefault="00E576DE" w:rsidP="00E576DE">
            <w:r w:rsidRPr="00E576DE">
              <w:t>4</w:t>
            </w:r>
          </w:p>
        </w:tc>
        <w:tc>
          <w:tcPr>
            <w:tcW w:w="0" w:type="auto"/>
            <w:vAlign w:val="center"/>
            <w:hideMark/>
          </w:tcPr>
          <w:p w:rsidR="00E576DE" w:rsidRPr="00E576DE" w:rsidRDefault="00E576DE" w:rsidP="00E576DE">
            <w:r w:rsidRPr="00E576DE">
              <w:t>4</w:t>
            </w:r>
          </w:p>
        </w:tc>
        <w:tc>
          <w:tcPr>
            <w:tcW w:w="0" w:type="auto"/>
            <w:vAlign w:val="center"/>
            <w:hideMark/>
          </w:tcPr>
          <w:p w:rsidR="00E576DE" w:rsidRPr="00E576DE" w:rsidRDefault="00E576DE" w:rsidP="00E576DE">
            <w:r w:rsidRPr="00E576DE">
              <w:t>3</w:t>
            </w:r>
          </w:p>
        </w:tc>
        <w:tc>
          <w:tcPr>
            <w:tcW w:w="0" w:type="auto"/>
            <w:vAlign w:val="center"/>
            <w:hideMark/>
          </w:tcPr>
          <w:p w:rsidR="00E576DE" w:rsidRPr="00E576DE" w:rsidRDefault="00E576DE" w:rsidP="00E576DE">
            <w:r w:rsidRPr="00E576DE">
              <w:t>4</w:t>
            </w:r>
          </w:p>
        </w:tc>
        <w:tc>
          <w:tcPr>
            <w:tcW w:w="0" w:type="auto"/>
            <w:vAlign w:val="center"/>
            <w:hideMark/>
          </w:tcPr>
          <w:p w:rsidR="00E576DE" w:rsidRPr="00E576DE" w:rsidRDefault="00E576DE" w:rsidP="00E576DE">
            <w:r w:rsidRPr="00E576DE">
              <w:t>4</w:t>
            </w:r>
          </w:p>
        </w:tc>
        <w:tc>
          <w:tcPr>
            <w:tcW w:w="0" w:type="auto"/>
            <w:vAlign w:val="center"/>
            <w:hideMark/>
          </w:tcPr>
          <w:p w:rsidR="00E576DE" w:rsidRPr="00E576DE" w:rsidRDefault="00E576DE" w:rsidP="00E576DE">
            <w:r w:rsidRPr="00E576DE">
              <w:t>19</w:t>
            </w:r>
          </w:p>
        </w:tc>
      </w:tr>
    </w:tbl>
    <w:p w:rsidR="00E576DE" w:rsidRPr="00E576DE" w:rsidRDefault="00E576DE" w:rsidP="00E576DE">
      <w:pPr>
        <w:spacing w:before="100" w:beforeAutospacing="1" w:after="100" w:afterAutospacing="1"/>
        <w:outlineLvl w:val="3"/>
        <w:rPr>
          <w:b/>
          <w:bCs/>
        </w:rPr>
      </w:pPr>
      <w:r w:rsidRPr="00E576DE">
        <w:rPr>
          <w:b/>
          <w:bCs/>
        </w:rPr>
        <w:t>Criterion A</w:t>
      </w:r>
    </w:p>
    <w:p w:rsidR="00E576DE" w:rsidRPr="00E576DE" w:rsidRDefault="00E576DE" w:rsidP="00E576DE">
      <w:pPr>
        <w:spacing w:before="100" w:beforeAutospacing="1" w:after="100" w:afterAutospacing="1"/>
      </w:pPr>
      <w:r w:rsidRPr="00E576DE">
        <w:t xml:space="preserve">The essay clearly outlines the setting for both works (11th century Scotland for </w:t>
      </w:r>
      <w:r w:rsidRPr="00E576DE">
        <w:rPr>
          <w:i/>
          <w:iCs/>
        </w:rPr>
        <w:t>Macbeth</w:t>
      </w:r>
      <w:r w:rsidRPr="00E576DE">
        <w:t xml:space="preserve"> and the American South during the Depression years for </w:t>
      </w:r>
      <w:r w:rsidRPr="00E576DE">
        <w:rPr>
          <w:i/>
          <w:iCs/>
        </w:rPr>
        <w:t>To Kill a Mockingbird</w:t>
      </w:r>
      <w:r w:rsidRPr="00E576DE">
        <w:t xml:space="preserve">). In both cases the candidate is well aware of the historical, cultural and social contexts being reflected in the texts. The candidate equates context with setting at the start, but then moves on to discuss the specific contexts being referred to in the question. The social context of the class system, gender issues and racial prejudice are illustrated quite well in Lee’s work. The cultural contexts of the mystic supernatural elements of </w:t>
      </w:r>
      <w:r w:rsidRPr="00E576DE">
        <w:rPr>
          <w:i/>
          <w:iCs/>
        </w:rPr>
        <w:t>Macbeth</w:t>
      </w:r>
      <w:r w:rsidRPr="00E576DE">
        <w:t xml:space="preserve"> were pertinently developed along with the effect on the Christian audience. </w:t>
      </w:r>
    </w:p>
    <w:p w:rsidR="00E576DE" w:rsidRPr="00E576DE" w:rsidRDefault="00E576DE" w:rsidP="00E576DE">
      <w:pPr>
        <w:spacing w:before="100" w:beforeAutospacing="1" w:after="100" w:afterAutospacing="1"/>
        <w:outlineLvl w:val="3"/>
        <w:rPr>
          <w:b/>
          <w:bCs/>
        </w:rPr>
      </w:pPr>
      <w:r w:rsidRPr="00E576DE">
        <w:rPr>
          <w:b/>
          <w:bCs/>
        </w:rPr>
        <w:t>Criterion B</w:t>
      </w:r>
    </w:p>
    <w:p w:rsidR="00E576DE" w:rsidRPr="00E576DE" w:rsidRDefault="00E576DE" w:rsidP="00E576DE">
      <w:pPr>
        <w:spacing w:before="100" w:beforeAutospacing="1" w:after="100" w:afterAutospacing="1"/>
      </w:pPr>
      <w:r w:rsidRPr="00E576DE">
        <w:t xml:space="preserve">The consistent focus on the contextual elements show a good understanding of the question. The candidate is consistently relevant (“as the society lives in a strict class system based on conservative ideals” and “Macbeth also makes no openly critical statements about kingship and monarchy and promotes simply the idea that the crown should pass to its rightful owner”). These contextual statements are illustrated with appropriate examples from the two texts. The candidate is also able to distinguish between the time periods of the setting with the situations affecting the authors. </w:t>
      </w:r>
    </w:p>
    <w:p w:rsidR="00E576DE" w:rsidRPr="00E576DE" w:rsidRDefault="00E576DE" w:rsidP="00E576DE">
      <w:pPr>
        <w:spacing w:before="100" w:beforeAutospacing="1" w:after="100" w:afterAutospacing="1"/>
        <w:outlineLvl w:val="3"/>
        <w:rPr>
          <w:b/>
          <w:bCs/>
        </w:rPr>
      </w:pPr>
      <w:r w:rsidRPr="00E576DE">
        <w:rPr>
          <w:b/>
          <w:bCs/>
        </w:rPr>
        <w:t>Criterion C</w:t>
      </w:r>
    </w:p>
    <w:p w:rsidR="00E576DE" w:rsidRPr="00E576DE" w:rsidRDefault="00E576DE" w:rsidP="00E576DE">
      <w:pPr>
        <w:spacing w:before="100" w:beforeAutospacing="1" w:after="100" w:afterAutospacing="1"/>
      </w:pPr>
      <w:r w:rsidRPr="00E576DE">
        <w:t xml:space="preserve">While there is an adequate awareness of some of the stylistic features such as characterization, plot and setting, there is only an assumed sense of the genre for each of the works. The differences between the genres of drama and prose fiction are largely ignored. </w:t>
      </w:r>
    </w:p>
    <w:p w:rsidR="00E576DE" w:rsidRPr="00E576DE" w:rsidRDefault="00E576DE" w:rsidP="00E576DE">
      <w:pPr>
        <w:spacing w:before="100" w:beforeAutospacing="1" w:after="100" w:afterAutospacing="1"/>
        <w:outlineLvl w:val="3"/>
        <w:rPr>
          <w:b/>
          <w:bCs/>
        </w:rPr>
      </w:pPr>
      <w:r w:rsidRPr="00E576DE">
        <w:rPr>
          <w:b/>
          <w:bCs/>
        </w:rPr>
        <w:t>Criterion D</w:t>
      </w:r>
    </w:p>
    <w:p w:rsidR="00E576DE" w:rsidRPr="00E576DE" w:rsidRDefault="00E576DE" w:rsidP="00E576DE">
      <w:pPr>
        <w:spacing w:before="100" w:beforeAutospacing="1" w:after="100" w:afterAutospacing="1"/>
      </w:pPr>
      <w:r w:rsidRPr="00E576DE">
        <w:lastRenderedPageBreak/>
        <w:t xml:space="preserve">The essay begins with a marginal introduction but ends with a more than fair conclusion. The essay is consistent in its focus and the transitions between the works and the ideas in the different paragraphs are effective. </w:t>
      </w:r>
    </w:p>
    <w:p w:rsidR="00E576DE" w:rsidRPr="00E576DE" w:rsidRDefault="00E576DE" w:rsidP="00E576DE">
      <w:pPr>
        <w:spacing w:before="100" w:beforeAutospacing="1" w:after="100" w:afterAutospacing="1"/>
        <w:outlineLvl w:val="3"/>
        <w:rPr>
          <w:b/>
          <w:bCs/>
        </w:rPr>
      </w:pPr>
      <w:r w:rsidRPr="00E576DE">
        <w:rPr>
          <w:b/>
          <w:bCs/>
        </w:rPr>
        <w:t>Criterion E</w:t>
      </w:r>
    </w:p>
    <w:p w:rsidR="00E576DE" w:rsidRPr="00E576DE" w:rsidRDefault="00E576DE" w:rsidP="00E576DE">
      <w:pPr>
        <w:spacing w:before="100" w:beforeAutospacing="1" w:after="100" w:afterAutospacing="1"/>
      </w:pPr>
      <w:r w:rsidRPr="00E576DE">
        <w:t xml:space="preserve">While there are some awkward moments, there are also some sophisticated expressions (“The setting of the action that happens in a literary work gives a specific environment and contributes to the atmosphere of it thus giving an adequate framework for the ideas which the work must express to the reader.”). For the most part the candidate shows a good grasp of the language and uses the appropriate register effectively to develop the ideas. </w:t>
      </w:r>
    </w:p>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DE"/>
    <w:rsid w:val="002A1F1E"/>
    <w:rsid w:val="006B6240"/>
    <w:rsid w:val="008F5C10"/>
    <w:rsid w:val="00E576DE"/>
    <w:rsid w:val="00EC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576D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576D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76DE"/>
    <w:rPr>
      <w:b/>
      <w:bCs/>
      <w:sz w:val="27"/>
      <w:szCs w:val="27"/>
    </w:rPr>
  </w:style>
  <w:style w:type="character" w:customStyle="1" w:styleId="Heading4Char">
    <w:name w:val="Heading 4 Char"/>
    <w:basedOn w:val="DefaultParagraphFont"/>
    <w:link w:val="Heading4"/>
    <w:uiPriority w:val="9"/>
    <w:rsid w:val="00E576DE"/>
    <w:rPr>
      <w:b/>
      <w:bCs/>
      <w:sz w:val="24"/>
      <w:szCs w:val="24"/>
    </w:rPr>
  </w:style>
  <w:style w:type="paragraph" w:styleId="NormalWeb">
    <w:name w:val="Normal (Web)"/>
    <w:basedOn w:val="Normal"/>
    <w:uiPriority w:val="99"/>
    <w:unhideWhenUsed/>
    <w:rsid w:val="00E576DE"/>
    <w:pPr>
      <w:spacing w:before="100" w:beforeAutospacing="1" w:after="100" w:afterAutospacing="1"/>
    </w:pPr>
  </w:style>
  <w:style w:type="character" w:styleId="Emphasis">
    <w:name w:val="Emphasis"/>
    <w:basedOn w:val="DefaultParagraphFont"/>
    <w:uiPriority w:val="20"/>
    <w:qFormat/>
    <w:rsid w:val="00E576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576D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576D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76DE"/>
    <w:rPr>
      <w:b/>
      <w:bCs/>
      <w:sz w:val="27"/>
      <w:szCs w:val="27"/>
    </w:rPr>
  </w:style>
  <w:style w:type="character" w:customStyle="1" w:styleId="Heading4Char">
    <w:name w:val="Heading 4 Char"/>
    <w:basedOn w:val="DefaultParagraphFont"/>
    <w:link w:val="Heading4"/>
    <w:uiPriority w:val="9"/>
    <w:rsid w:val="00E576DE"/>
    <w:rPr>
      <w:b/>
      <w:bCs/>
      <w:sz w:val="24"/>
      <w:szCs w:val="24"/>
    </w:rPr>
  </w:style>
  <w:style w:type="paragraph" w:styleId="NormalWeb">
    <w:name w:val="Normal (Web)"/>
    <w:basedOn w:val="Normal"/>
    <w:uiPriority w:val="99"/>
    <w:unhideWhenUsed/>
    <w:rsid w:val="00E576DE"/>
    <w:pPr>
      <w:spacing w:before="100" w:beforeAutospacing="1" w:after="100" w:afterAutospacing="1"/>
    </w:pPr>
  </w:style>
  <w:style w:type="character" w:styleId="Emphasis">
    <w:name w:val="Emphasis"/>
    <w:basedOn w:val="DefaultParagraphFont"/>
    <w:uiPriority w:val="20"/>
    <w:qFormat/>
    <w:rsid w:val="00E57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68675">
      <w:bodyDiv w:val="1"/>
      <w:marLeft w:val="0"/>
      <w:marRight w:val="0"/>
      <w:marTop w:val="0"/>
      <w:marBottom w:val="0"/>
      <w:divBdr>
        <w:top w:val="none" w:sz="0" w:space="0" w:color="auto"/>
        <w:left w:val="none" w:sz="0" w:space="0" w:color="auto"/>
        <w:bottom w:val="none" w:sz="0" w:space="0" w:color="auto"/>
        <w:right w:val="none" w:sz="0" w:space="0" w:color="auto"/>
      </w:divBdr>
      <w:divsChild>
        <w:div w:id="1849174649">
          <w:marLeft w:val="0"/>
          <w:marRight w:val="0"/>
          <w:marTop w:val="0"/>
          <w:marBottom w:val="0"/>
          <w:divBdr>
            <w:top w:val="none" w:sz="0" w:space="0" w:color="auto"/>
            <w:left w:val="none" w:sz="0" w:space="0" w:color="auto"/>
            <w:bottom w:val="none" w:sz="0" w:space="0" w:color="auto"/>
            <w:right w:val="none" w:sz="0" w:space="0" w:color="auto"/>
          </w:divBdr>
          <w:divsChild>
            <w:div w:id="333607256">
              <w:marLeft w:val="0"/>
              <w:marRight w:val="0"/>
              <w:marTop w:val="0"/>
              <w:marBottom w:val="0"/>
              <w:divBdr>
                <w:top w:val="none" w:sz="0" w:space="0" w:color="auto"/>
                <w:left w:val="none" w:sz="0" w:space="0" w:color="auto"/>
                <w:bottom w:val="none" w:sz="0" w:space="0" w:color="auto"/>
                <w:right w:val="none" w:sz="0" w:space="0" w:color="auto"/>
              </w:divBdr>
              <w:divsChild>
                <w:div w:id="1962488919">
                  <w:marLeft w:val="0"/>
                  <w:marRight w:val="0"/>
                  <w:marTop w:val="0"/>
                  <w:marBottom w:val="0"/>
                  <w:divBdr>
                    <w:top w:val="none" w:sz="0" w:space="0" w:color="auto"/>
                    <w:left w:val="none" w:sz="0" w:space="0" w:color="auto"/>
                    <w:bottom w:val="none" w:sz="0" w:space="0" w:color="auto"/>
                    <w:right w:val="none" w:sz="0" w:space="0" w:color="auto"/>
                  </w:divBdr>
                  <w:divsChild>
                    <w:div w:id="1427726045">
                      <w:marLeft w:val="0"/>
                      <w:marRight w:val="0"/>
                      <w:marTop w:val="0"/>
                      <w:marBottom w:val="0"/>
                      <w:divBdr>
                        <w:top w:val="none" w:sz="0" w:space="0" w:color="auto"/>
                        <w:left w:val="none" w:sz="0" w:space="0" w:color="auto"/>
                        <w:bottom w:val="none" w:sz="0" w:space="0" w:color="auto"/>
                        <w:right w:val="none" w:sz="0" w:space="0" w:color="auto"/>
                      </w:divBdr>
                      <w:divsChild>
                        <w:div w:id="685133251">
                          <w:marLeft w:val="0"/>
                          <w:marRight w:val="0"/>
                          <w:marTop w:val="0"/>
                          <w:marBottom w:val="0"/>
                          <w:divBdr>
                            <w:top w:val="none" w:sz="0" w:space="0" w:color="auto"/>
                            <w:left w:val="none" w:sz="0" w:space="0" w:color="auto"/>
                            <w:bottom w:val="none" w:sz="0" w:space="0" w:color="auto"/>
                            <w:right w:val="none" w:sz="0" w:space="0" w:color="auto"/>
                          </w:divBdr>
                          <w:divsChild>
                            <w:div w:id="504907283">
                              <w:marLeft w:val="0"/>
                              <w:marRight w:val="0"/>
                              <w:marTop w:val="0"/>
                              <w:marBottom w:val="0"/>
                              <w:divBdr>
                                <w:top w:val="none" w:sz="0" w:space="0" w:color="auto"/>
                                <w:left w:val="none" w:sz="0" w:space="0" w:color="auto"/>
                                <w:bottom w:val="none" w:sz="0" w:space="0" w:color="auto"/>
                                <w:right w:val="none" w:sz="0" w:space="0" w:color="auto"/>
                              </w:divBdr>
                            </w:div>
                            <w:div w:id="1477068113">
                              <w:marLeft w:val="0"/>
                              <w:marRight w:val="0"/>
                              <w:marTop w:val="0"/>
                              <w:marBottom w:val="0"/>
                              <w:divBdr>
                                <w:top w:val="none" w:sz="0" w:space="0" w:color="auto"/>
                                <w:left w:val="none" w:sz="0" w:space="0" w:color="auto"/>
                                <w:bottom w:val="none" w:sz="0" w:space="0" w:color="auto"/>
                                <w:right w:val="none" w:sz="0" w:space="0" w:color="auto"/>
                              </w:divBdr>
                            </w:div>
                            <w:div w:id="1356467675">
                              <w:marLeft w:val="0"/>
                              <w:marRight w:val="0"/>
                              <w:marTop w:val="0"/>
                              <w:marBottom w:val="0"/>
                              <w:divBdr>
                                <w:top w:val="none" w:sz="0" w:space="0" w:color="auto"/>
                                <w:left w:val="none" w:sz="0" w:space="0" w:color="auto"/>
                                <w:bottom w:val="none" w:sz="0" w:space="0" w:color="auto"/>
                                <w:right w:val="none" w:sz="0" w:space="0" w:color="auto"/>
                              </w:divBdr>
                            </w:div>
                            <w:div w:id="267810713">
                              <w:marLeft w:val="0"/>
                              <w:marRight w:val="0"/>
                              <w:marTop w:val="0"/>
                              <w:marBottom w:val="0"/>
                              <w:divBdr>
                                <w:top w:val="none" w:sz="0" w:space="0" w:color="auto"/>
                                <w:left w:val="none" w:sz="0" w:space="0" w:color="auto"/>
                                <w:bottom w:val="none" w:sz="0" w:space="0" w:color="auto"/>
                                <w:right w:val="none" w:sz="0" w:space="0" w:color="auto"/>
                              </w:divBdr>
                            </w:div>
                            <w:div w:id="12349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530987">
      <w:bodyDiv w:val="1"/>
      <w:marLeft w:val="0"/>
      <w:marRight w:val="0"/>
      <w:marTop w:val="0"/>
      <w:marBottom w:val="0"/>
      <w:divBdr>
        <w:top w:val="none" w:sz="0" w:space="0" w:color="auto"/>
        <w:left w:val="none" w:sz="0" w:space="0" w:color="auto"/>
        <w:bottom w:val="none" w:sz="0" w:space="0" w:color="auto"/>
        <w:right w:val="none" w:sz="0" w:space="0" w:color="auto"/>
      </w:divBdr>
      <w:divsChild>
        <w:div w:id="1766917990">
          <w:marLeft w:val="0"/>
          <w:marRight w:val="0"/>
          <w:marTop w:val="0"/>
          <w:marBottom w:val="0"/>
          <w:divBdr>
            <w:top w:val="none" w:sz="0" w:space="0" w:color="auto"/>
            <w:left w:val="none" w:sz="0" w:space="0" w:color="auto"/>
            <w:bottom w:val="none" w:sz="0" w:space="0" w:color="auto"/>
            <w:right w:val="none" w:sz="0" w:space="0" w:color="auto"/>
          </w:divBdr>
          <w:divsChild>
            <w:div w:id="274098930">
              <w:marLeft w:val="0"/>
              <w:marRight w:val="0"/>
              <w:marTop w:val="0"/>
              <w:marBottom w:val="0"/>
              <w:divBdr>
                <w:top w:val="none" w:sz="0" w:space="0" w:color="auto"/>
                <w:left w:val="none" w:sz="0" w:space="0" w:color="auto"/>
                <w:bottom w:val="none" w:sz="0" w:space="0" w:color="auto"/>
                <w:right w:val="none" w:sz="0" w:space="0" w:color="auto"/>
              </w:divBdr>
              <w:divsChild>
                <w:div w:id="1812090199">
                  <w:marLeft w:val="0"/>
                  <w:marRight w:val="0"/>
                  <w:marTop w:val="0"/>
                  <w:marBottom w:val="0"/>
                  <w:divBdr>
                    <w:top w:val="none" w:sz="0" w:space="0" w:color="auto"/>
                    <w:left w:val="none" w:sz="0" w:space="0" w:color="auto"/>
                    <w:bottom w:val="none" w:sz="0" w:space="0" w:color="auto"/>
                    <w:right w:val="none" w:sz="0" w:space="0" w:color="auto"/>
                  </w:divBdr>
                  <w:divsChild>
                    <w:div w:id="2081057338">
                      <w:marLeft w:val="0"/>
                      <w:marRight w:val="0"/>
                      <w:marTop w:val="0"/>
                      <w:marBottom w:val="0"/>
                      <w:divBdr>
                        <w:top w:val="none" w:sz="0" w:space="0" w:color="auto"/>
                        <w:left w:val="none" w:sz="0" w:space="0" w:color="auto"/>
                        <w:bottom w:val="none" w:sz="0" w:space="0" w:color="auto"/>
                        <w:right w:val="none" w:sz="0" w:space="0" w:color="auto"/>
                      </w:divBdr>
                      <w:divsChild>
                        <w:div w:id="1345285361">
                          <w:marLeft w:val="0"/>
                          <w:marRight w:val="0"/>
                          <w:marTop w:val="0"/>
                          <w:marBottom w:val="0"/>
                          <w:divBdr>
                            <w:top w:val="none" w:sz="0" w:space="0" w:color="auto"/>
                            <w:left w:val="none" w:sz="0" w:space="0" w:color="auto"/>
                            <w:bottom w:val="none" w:sz="0" w:space="0" w:color="auto"/>
                            <w:right w:val="none" w:sz="0" w:space="0" w:color="auto"/>
                          </w:divBdr>
                          <w:divsChild>
                            <w:div w:id="2032993479">
                              <w:marLeft w:val="0"/>
                              <w:marRight w:val="0"/>
                              <w:marTop w:val="0"/>
                              <w:marBottom w:val="0"/>
                              <w:divBdr>
                                <w:top w:val="none" w:sz="0" w:space="0" w:color="auto"/>
                                <w:left w:val="none" w:sz="0" w:space="0" w:color="auto"/>
                                <w:bottom w:val="none" w:sz="0" w:space="0" w:color="auto"/>
                                <w:right w:val="none" w:sz="0" w:space="0" w:color="auto"/>
                              </w:divBdr>
                              <w:divsChild>
                                <w:div w:id="902759651">
                                  <w:marLeft w:val="0"/>
                                  <w:marRight w:val="0"/>
                                  <w:marTop w:val="0"/>
                                  <w:marBottom w:val="0"/>
                                  <w:divBdr>
                                    <w:top w:val="none" w:sz="0" w:space="0" w:color="auto"/>
                                    <w:left w:val="none" w:sz="0" w:space="0" w:color="auto"/>
                                    <w:bottom w:val="none" w:sz="0" w:space="0" w:color="auto"/>
                                    <w:right w:val="none" w:sz="0" w:space="0" w:color="auto"/>
                                  </w:divBdr>
                                  <w:divsChild>
                                    <w:div w:id="8393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2014-04-17T22:08:00Z</dcterms:created>
  <dcterms:modified xsi:type="dcterms:W3CDTF">2014-04-22T15:43:00Z</dcterms:modified>
</cp:coreProperties>
</file>